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Powiatowy Inspektorat </w:t>
      </w:r>
    </w:p>
    <w:p>
      <w:pPr>
        <w:pStyle w:val="Normal"/>
        <w:rPr>
          <w:iCs/>
          <w:sz w:val="16"/>
          <w:szCs w:val="16"/>
        </w:rPr>
      </w:pPr>
      <w:r>
        <w:rPr>
          <w:iCs/>
          <w:sz w:val="16"/>
          <w:szCs w:val="16"/>
        </w:rPr>
        <w:t>Nadzoru Budowlanego</w:t>
      </w:r>
    </w:p>
    <w:p>
      <w:pPr>
        <w:pStyle w:val="Normal"/>
        <w:rPr>
          <w:iCs/>
          <w:sz w:val="16"/>
          <w:szCs w:val="16"/>
        </w:rPr>
      </w:pPr>
      <w:r>
        <w:rPr>
          <w:iCs/>
          <w:sz w:val="16"/>
          <w:szCs w:val="16"/>
        </w:rPr>
        <w:t>w Kielcach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</w:t>
      </w:r>
      <w:r>
        <w:rPr>
          <w:rFonts w:cs="Times New Roman"/>
        </w:rPr>
        <w:t>Kielce  2021-10-27</w:t>
      </w:r>
    </w:p>
    <w:p>
      <w:pPr>
        <w:pStyle w:val="Normal"/>
        <w:rPr/>
      </w:pPr>
      <w:r>
        <w:rPr/>
        <w:t>Znak: PINB.SO.55.8.2019.11.AMC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ZAPYTANIE OFERTOWE</w:t>
      </w:r>
    </w:p>
    <w:p>
      <w:pPr>
        <w:pStyle w:val="Normal"/>
        <w:ind w:firstLine="708"/>
        <w:rPr>
          <w:b/>
          <w:b/>
          <w:bCs/>
        </w:rPr>
      </w:pPr>
      <w:r>
        <w:rPr>
          <w:b/>
          <w:bCs/>
        </w:rPr>
        <w:t xml:space="preserve">                                             </w:t>
      </w:r>
      <w:r>
        <w:rPr>
          <w:b/>
          <w:bCs/>
        </w:rPr>
        <w:t>dot. wykonania zastępczego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>Powiatowy Inspektor Nadzoru Budowlanego w Kielcach w związku                                           z postępowaniem prowadzonym na podstawie przepisów ustawy o postępowaniu egzekucyjnym                 w administracji (j.t. Dz.U. z 2020r. poz.1427 ze zm.) zaprasza do przedstawienia oferty na wykonanie zastępcze obowiązku dokonania rozbiórki drewnianej szopy gospodarczej o wym.                     w rzucie 5,5x3,9/m/ znajdującej się na działce nr ewid.120/2 w Węgrzynowie gm.Mniów, usytuowanej przy granicy z działką nr ewid.121/2.</w:t>
      </w:r>
    </w:p>
    <w:p>
      <w:pPr>
        <w:pStyle w:val="Normal"/>
        <w:rPr/>
      </w:pPr>
      <w:r>
        <w:rPr/>
        <w:t>Zakres obowiązku obejmuje:</w:t>
      </w:r>
    </w:p>
    <w:p>
      <w:pPr>
        <w:pStyle w:val="Normal"/>
        <w:numPr>
          <w:ilvl w:val="0"/>
          <w:numId w:val="2"/>
        </w:numPr>
        <w:rPr/>
      </w:pPr>
      <w:r>
        <w:rPr/>
        <w:t>rozbiórkę szopy konstrukcji drewnianej ustawionej na kamieniach ze ścianami wypełnionymi deskami oraz dachem o konstrukcji drewnianej jednospadowej pokrytej eternitem, rozbiórka pokrycia dachowego z eternitu winna być wykonana przez wykonawcę posiadającego zezwolenie na prowadzenie działalności, w wyniku której powstają odpady niebezpieczne, w sposób określony w rozporządzeniu Ministra Pracy i Polityki Społecznej  z dnia 02.04.2004r w sprawie sposobu i warunków bezpiecznego użytkowania i usuwania wyrobów zawierających azbest,  obowiązek należy wykonać pod nadzorem osoby posiadającej wymagane uprawnienia budowlane.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Warunki ofertowe i zawartość oferty:</w:t>
      </w:r>
    </w:p>
    <w:p>
      <w:pPr>
        <w:pStyle w:val="Normal"/>
        <w:rPr/>
      </w:pPr>
      <w:r>
        <w:rPr>
          <w:rStyle w:val="Domylnaczcionkaakapitu"/>
          <w:rFonts w:cs="Times New Roman"/>
        </w:rPr>
        <w:t>1. Ofertę należy złożyć na specjalnym formularzu  (zał. nr 1</w:t>
      </w:r>
      <w:r>
        <w:rPr>
          <w:rStyle w:val="Domylnaczcionkaakapitu"/>
          <w:rFonts w:cs="Times New Roman"/>
          <w:sz w:val="26"/>
          <w:szCs w:val="26"/>
        </w:rPr>
        <w:t xml:space="preserve">)  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Cena oferty winna zawierać wszelkie koszty brutto związane z realizacją    </w:t>
      </w:r>
    </w:p>
    <w:p>
      <w:pPr>
        <w:pStyle w:val="Normal"/>
        <w:rPr/>
      </w:pPr>
      <w:r>
        <w:rPr>
          <w:rStyle w:val="Domylnaczcionkaakapitu"/>
          <w:rFonts w:cs="Times New Roman"/>
          <w:sz w:val="26"/>
          <w:szCs w:val="26"/>
        </w:rPr>
        <w:t xml:space="preserve">    </w:t>
      </w:r>
      <w:r>
        <w:rPr>
          <w:rStyle w:val="Domylnaczcionkaakapitu"/>
          <w:rFonts w:cs="Times New Roman"/>
        </w:rPr>
        <w:t>zamówienia oraz pracami przygotowawczymi i porządkowymi,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3. Wykonawca ponosi pełną odpowiedzialność za wszelkie skutki prawne związane                   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 xml:space="preserve">z prowadzonymi robotami. Odpowiedzialność wobec zobowiązanego odbywa się na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 xml:space="preserve">zasadach i w trybach przewidzianych w przepisach ustawy z dnia 23.04.1964r   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Kodeks cywilny,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4. Przewidywany termin wykonania robót: niezwłocznie po przeprowadzeniu procedury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wynikającej z art.127 i nast. ustawy o postępowaniu egzekucyjnym w administracji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(ustalony z wykonawcą poprzez wskazany rodzaj kontaktu),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5. Termin do złożenia oferty : do dnia 30.11.2021r, do godziny 15:00,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6. Rozpatrzenie ofert: do dnia 10.12.2021r,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7. Adres złożenia oferty: przesyłką pocztową na adres: ul.Wrzosowa 44, 25-211-Kielce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lub do skrzynki podawczej znajdującej się w budynku Starostwa Powiatowego przy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wejściu do pokoju nr 34 lub poprzez elektroniczną skrzynkę podawczą ePuaP: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inspektoratbudowlanypowiatkielce/skr1,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8. PINB w Kielcach zastrzega sobie prawo wyboru najkorzystniejszej oferty pod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względem ceny z zastrzeżeniem zasady gospodarności oraz z poszanowaniem zasad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uczciwej konkurencji, jak również pozostawienia sprawy wyboru wykonawcy bez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rozstrzygnięcia,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9. Niniejszy dokument nie stanowi oferty zawarcia umowy w rozumieniu art.66 ustawy 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 xml:space="preserve">z dnia 23.04.1964r Kodeks cywilny.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Jolanta Banasik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Powiatowy Inspektor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Nadzoru Budowlanego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w Kielcach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Zał. nr 1 do ZAPYTANIA OFERTOWEGO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PINB w Kielcach                                                                                                                 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Znak sprawy: PINB.SO.55.8.2019.11.AMC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Style w:val="Domylnaczcionkaakapitu"/>
          <w:rFonts w:cs="Times New Roman"/>
        </w:rPr>
        <w:tab/>
        <w:tab/>
        <w:tab/>
        <w:tab/>
      </w:r>
      <w:r>
        <w:rPr>
          <w:rStyle w:val="Domylnaczcionkaakapitu"/>
          <w:rFonts w:cs="Times New Roman"/>
          <w:b/>
          <w:bCs/>
        </w:rPr>
        <w:t>FORMULARZ  OFERTOWY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dot. wykonania robót w ramach wykonania zastępczego, polegających na dokonaniu rozbiórki drewnianej szopy gospodarczej o wym. w rzucie 5,5x3,9/m/ znajdującej się na działce nr ewid.120/2 w Węgrzynowie gm.Mniów, usytuowanej przy granicy z działką nr ewid.121/2 – nakazanych decyzją ostateczną PINB w Kielcach z dnia 16.09.2014r znak: SO.520.11.4.2014.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1.Dane dotyczące wykonawcy: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Nazwa Wykonawcy:</w:t>
      </w:r>
    </w:p>
    <w:p>
      <w:pPr>
        <w:pStyle w:val="Normal"/>
        <w:rPr>
          <w:rFonts w:cs="Times New Roman"/>
          <w:lang w:val="en-US"/>
        </w:rPr>
      </w:pPr>
      <w:r>
        <w:rPr>
          <w:rFonts w:cs="Times New Roman"/>
          <w:lang w:val="en-US"/>
        </w:rPr>
        <w:t>Adres:</w:t>
      </w:r>
    </w:p>
    <w:p>
      <w:pPr>
        <w:pStyle w:val="Normal"/>
        <w:rPr>
          <w:rFonts w:cs="Times New Roman"/>
          <w:lang w:val="en-US"/>
        </w:rPr>
      </w:pPr>
      <w:r>
        <w:rPr>
          <w:rFonts w:cs="Times New Roman"/>
          <w:lang w:val="en-US"/>
        </w:rPr>
        <w:t>tel/fax:</w:t>
      </w:r>
    </w:p>
    <w:p>
      <w:pPr>
        <w:pStyle w:val="Normal"/>
        <w:rPr>
          <w:rFonts w:cs="Times New Roman"/>
          <w:lang w:val="en-US"/>
        </w:rPr>
      </w:pPr>
      <w:r>
        <w:rPr>
          <w:rFonts w:cs="Times New Roman"/>
          <w:lang w:val="en-US"/>
        </w:rPr>
        <w:t>e-mail: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REGON: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NIP: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2.Dane dotyczące zamawiającego: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Powiatowy Inspektor Nadzoru Budowlanego w Kielcach, ul.Wrzosowa 44,  25-211 Kielce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3.Zobowiązania wykonawcy: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Wykonawca zobowiązuje się do wykonania zgodnie z zapisami zawartymi w Zapytaniu ofertowym i jego załączniku na kwotę: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wartość netto:................ zł., słownie: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podatek VAT  .... % ….............. zł., słownie: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cena brutto..............zł., słownie: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4.Oświadczenie wykonawcy:</w:t>
      </w:r>
    </w:p>
    <w:p>
      <w:pPr>
        <w:pStyle w:val="Normal"/>
        <w:rPr/>
      </w:pPr>
      <w:r>
        <w:rPr>
          <w:rStyle w:val="Domylnaczcionkaakapitu"/>
          <w:rFonts w:cs="Times New Roman"/>
          <w:b/>
          <w:bCs/>
        </w:rPr>
        <w:t>a)</w:t>
      </w:r>
      <w:r>
        <w:rPr>
          <w:rStyle w:val="Domylnaczcionkaakapitu"/>
          <w:rFonts w:cs="Times New Roman"/>
        </w:rPr>
        <w:t xml:space="preserve"> Oświadczam, że zapoznałem się z Zapytaniem ofertowym i jego załącznikiem, nie wnoszę do nich zastrzeżeń,</w:t>
      </w:r>
    </w:p>
    <w:p>
      <w:pPr>
        <w:pStyle w:val="Normal"/>
        <w:rPr/>
      </w:pPr>
      <w:r>
        <w:rPr>
          <w:rStyle w:val="Domylnaczcionkaakapitu"/>
          <w:rFonts w:cs="Times New Roman"/>
          <w:b/>
          <w:bCs/>
        </w:rPr>
        <w:t xml:space="preserve">b) </w:t>
      </w:r>
      <w:r>
        <w:rPr>
          <w:rStyle w:val="Domylnaczcionkaakapitu"/>
          <w:rFonts w:cs="Times New Roman"/>
        </w:rPr>
        <w:t xml:space="preserve">Oświadczam, że zdobyłem konieczne informacje dotyczące realizacji zamówienia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oraz przygotowania i złożenia oferty,</w:t>
      </w:r>
    </w:p>
    <w:p>
      <w:pPr>
        <w:pStyle w:val="Normal"/>
        <w:rPr/>
      </w:pPr>
      <w:r>
        <w:rPr>
          <w:rStyle w:val="Domylnaczcionkaakapitu"/>
          <w:rFonts w:cs="Times New Roman"/>
          <w:b/>
          <w:bCs/>
        </w:rPr>
        <w:t>c)</w:t>
      </w:r>
      <w:r>
        <w:rPr>
          <w:rStyle w:val="Domylnaczcionkaakapitu"/>
          <w:rFonts w:cs="Times New Roman"/>
        </w:rPr>
        <w:t xml:space="preserve"> Posiadam uprawnienia do wykonania określonej działalności lub czynności, jeżeli odrębne przepisy nakładają obowiązek posiadania takich uprawnień,   </w:t>
      </w:r>
    </w:p>
    <w:p>
      <w:pPr>
        <w:pStyle w:val="Normal"/>
        <w:rPr/>
      </w:pPr>
      <w:r>
        <w:rPr>
          <w:rStyle w:val="Domylnaczcionkaakapitu"/>
          <w:rFonts w:cs="Times New Roman"/>
          <w:b/>
          <w:bCs/>
        </w:rPr>
        <w:t>d)</w:t>
      </w:r>
      <w:r>
        <w:rPr>
          <w:rStyle w:val="Domylnaczcionkaakapitu"/>
          <w:rFonts w:cs="Times New Roman"/>
        </w:rPr>
        <w:t xml:space="preserve"> Posiadam niezbędną wiedzę oraz potencjał techniczny, a także dysponuję osobami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zdolnymi do wykonania zamówienia,</w:t>
      </w:r>
    </w:p>
    <w:p>
      <w:pPr>
        <w:pStyle w:val="Normal"/>
        <w:rPr/>
      </w:pPr>
      <w:r>
        <w:rPr>
          <w:rStyle w:val="Domylnaczcionkaakapitu"/>
          <w:rFonts w:cs="Times New Roman"/>
          <w:b/>
          <w:bCs/>
        </w:rPr>
        <w:t>e)</w:t>
      </w:r>
      <w:r>
        <w:rPr>
          <w:rStyle w:val="Domylnaczcionkaakapitu"/>
          <w:rFonts w:cs="Times New Roman"/>
        </w:rPr>
        <w:t xml:space="preserve"> Znajduję się w sytuacji finansowej i ekonomicznej zapewniającej wykonanie zamówienia,</w:t>
      </w:r>
    </w:p>
    <w:p>
      <w:pPr>
        <w:pStyle w:val="Normal"/>
        <w:rPr/>
      </w:pPr>
      <w:r>
        <w:rPr>
          <w:rStyle w:val="Domylnaczcionkaakapitu"/>
          <w:rFonts w:cs="Times New Roman"/>
          <w:b/>
          <w:bCs/>
        </w:rPr>
        <w:t>f)</w:t>
      </w:r>
      <w:r>
        <w:rPr>
          <w:rStyle w:val="Domylnaczcionkaakapitu"/>
          <w:rFonts w:cs="Times New Roman"/>
        </w:rPr>
        <w:t xml:space="preserve"> W przypadku wyboru oferty zobowiązuję się do zawarcia umowy na określonych wyżej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warunkach z uwzględnieniem zapisów zawartych w Zapytaniu ofertowym,</w:t>
      </w:r>
    </w:p>
    <w:p>
      <w:pPr>
        <w:pStyle w:val="Normal"/>
        <w:rPr/>
      </w:pPr>
      <w:r>
        <w:rPr>
          <w:rStyle w:val="Domylnaczcionkaakapitu"/>
          <w:rFonts w:cs="Times New Roman"/>
          <w:b/>
          <w:bCs/>
        </w:rPr>
        <w:t>g)</w:t>
      </w:r>
      <w:r>
        <w:rPr>
          <w:rStyle w:val="Domylnaczcionkaakapitu"/>
          <w:rFonts w:cs="Times New Roman"/>
        </w:rPr>
        <w:t xml:space="preserve"> W cenie oferty zostały uwzględnione wszystkie koszty wykonania zamówienia. W ofercie                           nie została zastosowana cena dumpingowa i oferta nie stanowi czynu nieuczciwej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konkurencji w rozumieniu przepisów ustawy z dnia 16.04.1993r o zwalczaniu nieuczciwej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konkurencji (Dz.U. z 2003r Nr 153, poz,1503 ze zm.)</w:t>
      </w:r>
    </w:p>
    <w:p>
      <w:pPr>
        <w:pStyle w:val="Normal"/>
        <w:rPr/>
      </w:pPr>
      <w:r>
        <w:rPr>
          <w:rStyle w:val="Domylnaczcionkaakapitu"/>
          <w:rFonts w:cs="Times New Roman"/>
          <w:b/>
          <w:bCs/>
        </w:rPr>
        <w:t>h)</w:t>
      </w:r>
      <w:r>
        <w:rPr>
          <w:rStyle w:val="Domylnaczcionkaakapitu"/>
          <w:rFonts w:cs="Times New Roman"/>
        </w:rPr>
        <w:t xml:space="preserve"> Zobowiązuję się wykonać zamówienie w terminie uzgodnionym z Powiatowym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Inspektorem Nadzoru Budowlanego w Kielcach.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entury Gothic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tabs>
        <w:tab w:val="clear" w:pos="709"/>
      </w:tabs>
      <w:suppressAutoHyphens w:val="true"/>
      <w:ind w:left="876" w:right="1000" w:hanging="0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ascii="Century Gothic" w:hAnsi="Century Gothic" w:cs="Century Gothic"/>
    </w:rPr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Century Gothic" w:hAnsi="Century Gothic" w:eastAsia="Times New Roman" w:cs="Century Gothic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>
      <w:rFonts w:cs="Century Gothic"/>
    </w:rPr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Century Gothic" w:hAnsi="Century Gothic" w:eastAsia="Times New Roman" w:cs="Century Gothic"/>
      <w:b w:val="false"/>
      <w:bCs w:val="false"/>
      <w:i w:val="false"/>
      <w:iCs w:val="false"/>
      <w:sz w:val="22"/>
      <w:szCs w:val="22"/>
      <w:lang w:bidi="ar-SA"/>
    </w:rPr>
  </w:style>
  <w:style w:type="character" w:styleId="WW8Num1z0">
    <w:name w:val="WW8Num1z0"/>
    <w:qFormat/>
    <w:rPr>
      <w:b w:val="false"/>
      <w:bCs w:val="false"/>
      <w:sz w:val="24"/>
      <w:szCs w:val="24"/>
    </w:rPr>
  </w:style>
  <w:style w:type="character" w:styleId="WW8Num1z1">
    <w:name w:val="WW8Num1z1"/>
    <w:qFormat/>
    <w:rPr>
      <w:rFonts w:cs="Times New Roman"/>
    </w:rPr>
  </w:style>
  <w:style w:type="character" w:styleId="WW8Num1z2">
    <w:name w:val="WW8Num1z2"/>
    <w:qFormat/>
    <w:rPr/>
  </w:style>
  <w:style w:type="character" w:styleId="WW8Num1z4">
    <w:name w:val="WW8Num1z4"/>
    <w:qFormat/>
    <w:rPr>
      <w:rFonts w:ascii="Times New Roman" w:hAnsi="Times New Roman" w:cs="Times New Roman"/>
      <w:b/>
      <w:sz w:val="24"/>
      <w:szCs w:val="24"/>
    </w:rPr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0z0">
    <w:name w:val="WW8Num20z0"/>
    <w:qFormat/>
    <w:rPr>
      <w:sz w:val="24"/>
      <w:szCs w:val="24"/>
    </w:rPr>
  </w:style>
  <w:style w:type="character" w:styleId="WW8Num20z1">
    <w:name w:val="WW8Num20z1"/>
    <w:qFormat/>
    <w:rPr>
      <w:b/>
      <w:i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>
      <w:rFonts w:cs="Century Gothic"/>
      <w:b w:val="false"/>
      <w:kern w:val="2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1z3">
    <w:name w:val="WW8Num1z3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Century Gothic" w:hAnsi="Century Gothic" w:eastAsia="Times New Roman" w:cs="Century Gothic"/>
      <w:b w:val="false"/>
      <w:bCs w:val="false"/>
      <w:i w:val="false"/>
      <w:iCs w:val="false"/>
      <w:sz w:val="22"/>
      <w:szCs w:val="22"/>
      <w:lang w:bidi="ar-SA"/>
    </w:rPr>
  </w:style>
  <w:style w:type="character" w:styleId="WWCharLFO6LVL2">
    <w:name w:val="WW_CharLFO6LVL2"/>
    <w:qFormat/>
    <w:rPr>
      <w:rFonts w:cs="Century Gothic"/>
    </w:rPr>
  </w:style>
  <w:style w:type="character" w:styleId="WWCharLFO8LVL2">
    <w:name w:val="WW_CharLFO8LVL2"/>
    <w:qFormat/>
    <w:rPr>
      <w:rFonts w:ascii="Century Gothic" w:hAnsi="Century Gothic" w:eastAsia="Times New Roman" w:cs="Century Gothic"/>
    </w:rPr>
  </w:style>
  <w:style w:type="character" w:styleId="WWCharLFO10LVL2">
    <w:name w:val="WW_CharLFO10LVL2"/>
    <w:qFormat/>
    <w:rPr>
      <w:rFonts w:ascii="Century Gothic" w:hAnsi="Century Gothic" w:cs="Century Gothic"/>
    </w:rPr>
  </w:style>
  <w:style w:type="character" w:styleId="WWCharLFO13LVL1">
    <w:name w:val="WW_CharLFO13LVL1"/>
    <w:qFormat/>
    <w:rPr>
      <w:sz w:val="24"/>
      <w:szCs w:val="24"/>
    </w:rPr>
  </w:style>
  <w:style w:type="character" w:styleId="WWCharLFO13LVL2">
    <w:name w:val="WW_CharLFO13LVL2"/>
    <w:qFormat/>
    <w:rPr>
      <w:b/>
      <w:i/>
    </w:rPr>
  </w:style>
  <w:style w:type="character" w:styleId="WWCharLFO14LVL2">
    <w:name w:val="WW_CharLFO14LVL2"/>
    <w:qFormat/>
    <w:rPr>
      <w:rFonts w:cs="Century Gothic"/>
      <w:b w:val="false"/>
      <w:kern w:val="2"/>
    </w:rPr>
  </w:style>
  <w:style w:type="character" w:styleId="WWCharLFO15LVL1">
    <w:name w:val="WW_CharLFO15LVL1"/>
    <w:qFormat/>
    <w:rPr>
      <w:rFonts w:ascii="OpenSymbol" w:hAnsi="OpenSymbol" w:eastAsia="OpenSymbol" w:cs="OpenSymbol"/>
    </w:rPr>
  </w:style>
  <w:style w:type="character" w:styleId="WWCharLFO15LVL2">
    <w:name w:val="WW_CharLFO15LVL2"/>
    <w:qFormat/>
    <w:rPr>
      <w:rFonts w:ascii="OpenSymbol" w:hAnsi="OpenSymbol" w:eastAsia="OpenSymbol" w:cs="OpenSymbol"/>
    </w:rPr>
  </w:style>
  <w:style w:type="character" w:styleId="WWCharLFO15LVL3">
    <w:name w:val="WW_CharLFO15LVL3"/>
    <w:qFormat/>
    <w:rPr>
      <w:rFonts w:ascii="OpenSymbol" w:hAnsi="OpenSymbol" w:eastAsia="OpenSymbol" w:cs="OpenSymbol"/>
    </w:rPr>
  </w:style>
  <w:style w:type="character" w:styleId="WWCharLFO15LVL4">
    <w:name w:val="WW_CharLFO15LVL4"/>
    <w:qFormat/>
    <w:rPr>
      <w:rFonts w:ascii="OpenSymbol" w:hAnsi="OpenSymbol" w:eastAsia="OpenSymbol" w:cs="OpenSymbol"/>
    </w:rPr>
  </w:style>
  <w:style w:type="character" w:styleId="WWCharLFO15LVL5">
    <w:name w:val="WW_CharLFO15LVL5"/>
    <w:qFormat/>
    <w:rPr>
      <w:rFonts w:ascii="OpenSymbol" w:hAnsi="OpenSymbol" w:eastAsia="OpenSymbol" w:cs="OpenSymbol"/>
    </w:rPr>
  </w:style>
  <w:style w:type="character" w:styleId="WWCharLFO15LVL6">
    <w:name w:val="WW_CharLFO15LVL6"/>
    <w:qFormat/>
    <w:rPr>
      <w:rFonts w:ascii="OpenSymbol" w:hAnsi="OpenSymbol" w:eastAsia="OpenSymbol" w:cs="OpenSymbol"/>
    </w:rPr>
  </w:style>
  <w:style w:type="character" w:styleId="WWCharLFO15LVL7">
    <w:name w:val="WW_CharLFO15LVL7"/>
    <w:qFormat/>
    <w:rPr>
      <w:rFonts w:ascii="OpenSymbol" w:hAnsi="OpenSymbol" w:eastAsia="OpenSymbol" w:cs="OpenSymbol"/>
    </w:rPr>
  </w:style>
  <w:style w:type="character" w:styleId="WWCharLFO15LVL8">
    <w:name w:val="WW_CharLFO15LVL8"/>
    <w:qFormat/>
    <w:rPr>
      <w:rFonts w:ascii="OpenSymbol" w:hAnsi="OpenSymbol" w:eastAsia="OpenSymbol" w:cs="OpenSymbol"/>
    </w:rPr>
  </w:style>
  <w:style w:type="character" w:styleId="WWCharLFO15LVL9">
    <w:name w:val="WW_CharLFO15LVL9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Tahoma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Tahoma"/>
    </w:rPr>
  </w:style>
  <w:style w:type="paragraph" w:styleId="TableParagraph">
    <w:name w:val="Table Paragraph"/>
    <w:basedOn w:val="Normal"/>
    <w:qFormat/>
    <w:pPr>
      <w:tabs>
        <w:tab w:val="clear" w:pos="709"/>
      </w:tabs>
      <w:suppressAutoHyphens w:val="true"/>
      <w:ind w:left="130" w:hanging="0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Tekstpodstawowyzwciciem">
    <w:name w:val="Tekst podstawowy z wcięciem"/>
    <w:basedOn w:val="Tretekstu"/>
    <w:qFormat/>
    <w:pPr>
      <w:suppressAutoHyphens w:val="true"/>
      <w:spacing w:before="0" w:after="0"/>
      <w:ind w:firstLine="210"/>
      <w:jc w:val="both"/>
    </w:pPr>
    <w:rPr/>
  </w:style>
  <w:style w:type="paragraph" w:styleId="Wcicietrecitekstu">
    <w:name w:val="Body Text Indent"/>
    <w:basedOn w:val="Normal"/>
    <w:pPr>
      <w:tabs>
        <w:tab w:val="clear" w:pos="709"/>
      </w:tabs>
      <w:suppressAutoHyphens w:val="true"/>
      <w:spacing w:before="0" w:after="120"/>
      <w:ind w:left="283" w:hanging="0"/>
    </w:pPr>
    <w:rPr/>
  </w:style>
  <w:style w:type="paragraph" w:styleId="Tekstpodstawowyzwciciem2">
    <w:name w:val="Tekst podstawowy z wcięciem 2"/>
    <w:basedOn w:val="Wcicietrecitekstu"/>
    <w:qFormat/>
    <w:pPr>
      <w:suppressAutoHyphens w:val="true"/>
      <w:spacing w:before="0" w:after="0"/>
      <w:ind w:firstLine="210"/>
    </w:pPr>
    <w:rPr/>
  </w:style>
  <w:style w:type="paragraph" w:styleId="Tekstpodstawowyzwciciem1">
    <w:name w:val="Tekst podstawowy z wcięciem1"/>
    <w:basedOn w:val="Tretekstu"/>
    <w:qFormat/>
    <w:pPr>
      <w:suppressAutoHyphens w:val="true"/>
      <w:spacing w:before="0" w:after="0"/>
      <w:ind w:firstLine="210"/>
    </w:pPr>
    <w:rPr/>
  </w:style>
  <w:style w:type="paragraph" w:styleId="Wcicienormalne">
    <w:name w:val="Wcięcie normalne"/>
    <w:basedOn w:val="Normal"/>
    <w:qFormat/>
    <w:pPr>
      <w:tabs>
        <w:tab w:val="clear" w:pos="709"/>
      </w:tabs>
      <w:suppressAutoHyphens w:val="true"/>
      <w:ind w:left="708" w:hanging="0"/>
    </w:pPr>
    <w:rPr/>
  </w:style>
  <w:style w:type="numbering" w:styleId="WW8Num2">
    <w:name w:val="WW8Num2"/>
    <w:qFormat/>
  </w:style>
  <w:style w:type="numbering" w:styleId="WW8Num13">
    <w:name w:val="WW8Num13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331</TotalTime>
  <Application>LibreOffice/7.1.3.2$Windows_X86_64 LibreOffice_project/47f78053abe362b9384784d31a6e56f8511eb1c1</Application>
  <AppVersion>15.0000</AppVersion>
  <Pages>2</Pages>
  <Words>624</Words>
  <Characters>4264</Characters>
  <CharactersWithSpaces>5339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2021-10-27T15:34:00Z</cp:lastPrinted>
  <dcterms:modified xsi:type="dcterms:W3CDTF">2021-11-17T14:35:11Z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